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rPr>
      </w:pPr>
      <w:r w:rsidDel="00000000" w:rsidR="00000000" w:rsidRPr="00000000">
        <w:rPr>
          <w:b w:val="1"/>
          <w:rtl w:val="0"/>
        </w:rPr>
        <w:t xml:space="preserve">OMC: el comercio global aún se rige por el principio de Nación Más Favorecida</w:t>
      </w:r>
    </w:p>
    <w:p w:rsidR="00000000" w:rsidDel="00000000" w:rsidP="00000000" w:rsidRDefault="00000000" w:rsidRPr="00000000" w14:paraId="00000002">
      <w:pPr>
        <w:spacing w:after="240" w:before="240" w:lineRule="auto"/>
        <w:rPr/>
      </w:pPr>
      <w:r w:rsidDel="00000000" w:rsidR="00000000" w:rsidRPr="00000000">
        <w:rPr>
          <w:rtl w:val="0"/>
        </w:rPr>
        <w:t xml:space="preserve">Pese al avance sostenido de los acuerdos comerciales preferenciales en las últimas décadas, el principio de Nación Más Favorecida (NMF) continúa siendo el pilar del comercio mundial. Así lo revela el informe anual publicado esta semana por la Organización Mundial del Comercio (OMC), en colaboración con el Centro de Comercio Internacional (ITC) y la Conferencia de las Naciones Unidas sobre Comercio y Desarrollo (UNCTAD). </w:t>
      </w:r>
    </w:p>
    <w:p w:rsidR="00000000" w:rsidDel="00000000" w:rsidP="00000000" w:rsidRDefault="00000000" w:rsidRPr="00000000" w14:paraId="00000003">
      <w:pPr>
        <w:spacing w:after="240" w:before="240" w:lineRule="auto"/>
        <w:rPr/>
      </w:pPr>
      <w:r w:rsidDel="00000000" w:rsidR="00000000" w:rsidRPr="00000000">
        <w:rPr>
          <w:rtl w:val="0"/>
        </w:rPr>
        <w:t xml:space="preserve">El estudio -que este año dedica su tema especial al principio de NMF- analiza cómo se distribuyen los flujos comerciales globales según distintos regímenes arancelarios. Este principio, consagrado en </w:t>
      </w:r>
      <w:r w:rsidDel="00000000" w:rsidR="00000000" w:rsidRPr="00000000">
        <w:rPr>
          <w:b w:val="1"/>
          <w:rtl w:val="0"/>
        </w:rPr>
        <w:t xml:space="preserve">el Artículo I del Acuerdo General sobre Aranceles Aduaneros y Comercio (GATT 1994)</w:t>
      </w:r>
      <w:r w:rsidDel="00000000" w:rsidR="00000000" w:rsidRPr="00000000">
        <w:rPr>
          <w:rtl w:val="0"/>
        </w:rPr>
        <w:t xml:space="preserve">, establece que toda ventaja comercial concedida a un país debe extenderse, de forma inmediata e incondicional, a todos los demás miembros de la OMC. “Este principio ha promovido un entorno comercial global más estable y predecible”, señala el informe, y subraya que “desalienta prácticas discriminatorias y fomenta la equidad en las relaciones comerciales”.</w:t>
      </w:r>
    </w:p>
    <w:p w:rsidR="00000000" w:rsidDel="00000000" w:rsidP="00000000" w:rsidRDefault="00000000" w:rsidRPr="00000000" w14:paraId="00000004">
      <w:pPr>
        <w:spacing w:after="240" w:before="240" w:lineRule="auto"/>
        <w:rPr/>
      </w:pPr>
      <w:r w:rsidDel="00000000" w:rsidR="00000000" w:rsidRPr="00000000">
        <w:rPr>
          <w:rtl w:val="0"/>
        </w:rPr>
        <w:t xml:space="preserve">Según las estimaciones preliminares -</w:t>
      </w:r>
      <w:r w:rsidDel="00000000" w:rsidR="00000000" w:rsidRPr="00000000">
        <w:rPr>
          <w:b w:val="1"/>
          <w:rtl w:val="0"/>
        </w:rPr>
        <w:t xml:space="preserve">basadas en datos disponibles hasta mayo de 2025-, alrededor del 74% del comercio mundial de mercancías se realiza actualmente bajo términos de Nación Más Favorecida</w:t>
      </w:r>
      <w:r w:rsidDel="00000000" w:rsidR="00000000" w:rsidRPr="00000000">
        <w:rPr>
          <w:rtl w:val="0"/>
        </w:rPr>
        <w:t xml:space="preserve">, lo que implica que la mayoría de los flujos comerciales sigue sujeta a un trato arancelario igualitario, sin preferencias diferenciadas entre socios.</w:t>
      </w:r>
    </w:p>
    <w:p w:rsidR="00000000" w:rsidDel="00000000" w:rsidP="00000000" w:rsidRDefault="00000000" w:rsidRPr="00000000" w14:paraId="00000005">
      <w:pPr>
        <w:spacing w:after="240" w:before="240" w:lineRule="auto"/>
        <w:rPr>
          <w:b w:val="1"/>
        </w:rPr>
      </w:pPr>
      <w:r w:rsidDel="00000000" w:rsidR="00000000" w:rsidRPr="00000000">
        <w:rPr>
          <w:b w:val="1"/>
          <w:rtl w:val="0"/>
        </w:rPr>
        <w:t xml:space="preserve">El perfil arancelario de Argentina</w:t>
      </w:r>
    </w:p>
    <w:p w:rsidR="00000000" w:rsidDel="00000000" w:rsidP="00000000" w:rsidRDefault="00000000" w:rsidRPr="00000000" w14:paraId="00000006">
      <w:pPr>
        <w:spacing w:after="240" w:before="240" w:lineRule="auto"/>
        <w:rPr/>
      </w:pPr>
      <w:r w:rsidDel="00000000" w:rsidR="00000000" w:rsidRPr="00000000">
        <w:rPr>
          <w:rtl w:val="0"/>
        </w:rPr>
        <w:t xml:space="preserve">El informe también incluye perfiles arancelarios individuales por país y territorio. En el caso de Argentina, </w:t>
      </w:r>
      <w:r w:rsidDel="00000000" w:rsidR="00000000" w:rsidRPr="00000000">
        <w:rPr>
          <w:b w:val="1"/>
          <w:rtl w:val="0"/>
        </w:rPr>
        <w:t xml:space="preserve">el arancel promedio simple aplicado en 2024 se ubica en 12,5%, </w:t>
      </w:r>
      <w:r w:rsidDel="00000000" w:rsidR="00000000" w:rsidRPr="00000000">
        <w:rPr>
          <w:rtl w:val="0"/>
        </w:rPr>
        <w:t xml:space="preserve">mientras que el promedio ponderado por el comercio-que refleja el impacto efectivo sobre las importaciones reales- alcanza el 11,3%, uno de los más altos del sistema multilateral.</w:t>
      </w:r>
    </w:p>
    <w:p w:rsidR="00000000" w:rsidDel="00000000" w:rsidP="00000000" w:rsidRDefault="00000000" w:rsidRPr="00000000" w14:paraId="00000007">
      <w:pPr>
        <w:spacing w:after="240" w:before="240" w:lineRule="auto"/>
        <w:rPr/>
      </w:pPr>
      <w:r w:rsidDel="00000000" w:rsidR="00000000" w:rsidRPr="00000000">
        <w:rPr>
          <w:rtl w:val="0"/>
        </w:rPr>
        <w:t xml:space="preserve">En 2023, las importaciones argentinas totalizaron 72.900 millones de dólares, de las cuales casi el 90% correspondieron a productos no agrícolas.</w:t>
      </w:r>
    </w:p>
    <w:p w:rsidR="00000000" w:rsidDel="00000000" w:rsidP="00000000" w:rsidRDefault="00000000" w:rsidRPr="00000000" w14:paraId="00000008">
      <w:pPr>
        <w:spacing w:after="240" w:before="240" w:lineRule="auto"/>
        <w:rPr/>
      </w:pPr>
      <w:r w:rsidDel="00000000" w:rsidR="00000000" w:rsidRPr="00000000">
        <w:rPr>
          <w:rtl w:val="0"/>
        </w:rPr>
        <w:t xml:space="preserve">Consultado por Aduana News, el especialista en comercio internacional, </w:t>
      </w:r>
      <w:r w:rsidDel="00000000" w:rsidR="00000000" w:rsidRPr="00000000">
        <w:rPr>
          <w:b w:val="1"/>
          <w:rtl w:val="0"/>
        </w:rPr>
        <w:t xml:space="preserve">Magíster Gustavo Scarpetta</w:t>
      </w:r>
      <w:r w:rsidDel="00000000" w:rsidR="00000000" w:rsidRPr="00000000">
        <w:rPr>
          <w:rtl w:val="0"/>
        </w:rPr>
        <w:t xml:space="preserve">, analizó los datos del informe: “El promedio ponderado bajó, y eso es positivo, pero seguimos siendo uno de los países con los niveles más altos de la región. Hay rubros que todavía enfrentan aranceles del 35%, lo que empuja el promedio hacia arriba”, explicó.</w:t>
      </w:r>
    </w:p>
    <w:p w:rsidR="00000000" w:rsidDel="00000000" w:rsidP="00000000" w:rsidRDefault="00000000" w:rsidRPr="00000000" w14:paraId="00000009">
      <w:pPr>
        <w:spacing w:after="240" w:before="240" w:lineRule="auto"/>
        <w:rPr/>
      </w:pPr>
      <w:r w:rsidDel="00000000" w:rsidR="00000000" w:rsidRPr="00000000">
        <w:rPr>
          <w:rtl w:val="0"/>
        </w:rPr>
        <w:t xml:space="preserve">Y agregó: “La política arancelaria tiene que avanzar por dos vías: reducir no solo los aranceles, sino también las restricciones no arancelarias. Solo así vamos a ser realmente más abiertos al comercio”.</w:t>
      </w:r>
    </w:p>
    <w:p w:rsidR="00000000" w:rsidDel="00000000" w:rsidP="00000000" w:rsidRDefault="00000000" w:rsidRPr="00000000" w14:paraId="0000000A">
      <w:pPr>
        <w:spacing w:after="240" w:before="240" w:lineRule="auto"/>
        <w:rPr/>
      </w:pPr>
      <w:r w:rsidDel="00000000" w:rsidR="00000000" w:rsidRPr="00000000">
        <w:rPr>
          <w:rtl w:val="0"/>
        </w:rPr>
        <w:t xml:space="preserve">En cuanto al contexto internacional, Scarpetta valoró el dato de que el 74% del comercio mundial aún se realiza bajo términos de Nación Más Favorecida, y destacó la importancia de comparar estructuras arancelarias:  “El promedio puede ser engañoso, porque conviven productos que pagan cero con otros que enfrentan un 35%. Hay países con promedios más bajos que, sin embargo, mantienen niveles arancelarios altos en sectores específicos. Todo responde a una estrategia”.</w:t>
      </w:r>
    </w:p>
    <w:p w:rsidR="00000000" w:rsidDel="00000000" w:rsidP="00000000" w:rsidRDefault="00000000" w:rsidRPr="00000000" w14:paraId="0000000B">
      <w:pPr>
        <w:spacing w:after="240" w:before="240" w:lineRule="auto"/>
        <w:rPr>
          <w:b w:val="1"/>
        </w:rPr>
      </w:pPr>
      <w:r w:rsidDel="00000000" w:rsidR="00000000" w:rsidRPr="00000000">
        <w:rPr>
          <w:rtl w:val="0"/>
        </w:rPr>
      </w:r>
    </w:p>
    <w:p w:rsidR="00000000" w:rsidDel="00000000" w:rsidP="00000000" w:rsidRDefault="00000000" w:rsidRPr="00000000" w14:paraId="0000000C">
      <w:pPr>
        <w:spacing w:after="240" w:before="240" w:lineRule="auto"/>
        <w:rPr>
          <w:b w:val="1"/>
        </w:rPr>
      </w:pPr>
      <w:r w:rsidDel="00000000" w:rsidR="00000000" w:rsidRPr="00000000">
        <w:rPr>
          <w:b w:val="1"/>
          <w:rtl w:val="0"/>
        </w:rPr>
        <w:t xml:space="preserve">Multilateralismo vigente</w:t>
      </w:r>
    </w:p>
    <w:p w:rsidR="00000000" w:rsidDel="00000000" w:rsidP="00000000" w:rsidRDefault="00000000" w:rsidRPr="00000000" w14:paraId="0000000D">
      <w:pPr>
        <w:spacing w:after="240" w:before="240" w:lineRule="auto"/>
        <w:rPr/>
      </w:pPr>
      <w:r w:rsidDel="00000000" w:rsidR="00000000" w:rsidRPr="00000000">
        <w:rPr>
          <w:rtl w:val="0"/>
        </w:rPr>
        <w:t xml:space="preserve">Aunque el 22% de las importaciones globales serían elegibles para beneficios arancelarios bajo acuerdos bilaterales, regionales o esquemas unilaterales, solo el 17% del comercio mundial los aprovecha efectivamente, según el informe. Esa baja utilización hace que gran parte del comercio se mantenga bajo los términos del principio de Nación más Favorecida, lo que llevó a que hacia fines de 2022 el 83% del comercio global de bienes se </w:t>
      </w:r>
      <w:r w:rsidDel="00000000" w:rsidR="00000000" w:rsidRPr="00000000">
        <w:rPr>
          <w:rtl w:val="0"/>
        </w:rPr>
        <w:t xml:space="preserve">realizara</w:t>
      </w:r>
      <w:r w:rsidDel="00000000" w:rsidR="00000000" w:rsidRPr="00000000">
        <w:rPr>
          <w:rtl w:val="0"/>
        </w:rPr>
        <w:t xml:space="preserve"> sin preferencias arancelarias, una proporción incluso superior a la de años anteriores.</w:t>
      </w:r>
    </w:p>
    <w:p w:rsidR="00000000" w:rsidDel="00000000" w:rsidP="00000000" w:rsidRDefault="00000000" w:rsidRPr="00000000" w14:paraId="0000000E">
      <w:pPr>
        <w:spacing w:after="240" w:before="240" w:lineRule="auto"/>
        <w:rPr/>
      </w:pPr>
      <w:r w:rsidDel="00000000" w:rsidR="00000000" w:rsidRPr="00000000">
        <w:rPr>
          <w:rtl w:val="0"/>
        </w:rPr>
        <w:t xml:space="preserve">Pese a que todos los países participan en al menos un acuerdo comercial preferencial, el informe destaca que el sistema multilateral mantiene su centralidad. “Las cuotas comerciales bajo el principio de Nación más Favorecida varían significativamente entre economías y sectores, lo que refleja su continua relevancia”, advierte la OMC. Asimismo, subraya que es necesario entender mejor el uso real de las preferencias en un contexto donde el regionalismo gana protagonismo.</w:t>
      </w:r>
    </w:p>
    <w:p w:rsidR="00000000" w:rsidDel="00000000" w:rsidP="00000000" w:rsidRDefault="00000000" w:rsidRPr="00000000" w14:paraId="0000000F">
      <w:pPr>
        <w:spacing w:after="240" w:before="240" w:lineRule="auto"/>
        <w:rPr>
          <w:b w:val="1"/>
        </w:rPr>
      </w:pPr>
      <w:r w:rsidDel="00000000" w:rsidR="00000000" w:rsidRPr="00000000">
        <w:rPr>
          <w:b w:val="1"/>
          <w:rtl w:val="0"/>
        </w:rPr>
        <w:t xml:space="preserve">Tensiones comerciales</w:t>
      </w:r>
    </w:p>
    <w:p w:rsidR="00000000" w:rsidDel="00000000" w:rsidP="00000000" w:rsidRDefault="00000000" w:rsidRPr="00000000" w14:paraId="00000010">
      <w:pPr>
        <w:spacing w:after="240" w:before="240" w:lineRule="auto"/>
        <w:rPr/>
      </w:pPr>
      <w:r w:rsidDel="00000000" w:rsidR="00000000" w:rsidRPr="00000000">
        <w:rPr>
          <w:rtl w:val="0"/>
        </w:rPr>
        <w:t xml:space="preserve">En ese sentido,e</w:t>
      </w:r>
      <w:r w:rsidDel="00000000" w:rsidR="00000000" w:rsidRPr="00000000">
        <w:rPr>
          <w:rtl w:val="0"/>
        </w:rPr>
        <w:t xml:space="preserve">l estudio también da cuenta del creciente uso de medidas restrictivas en el comercio. Alrededor de</w:t>
      </w:r>
      <w:r w:rsidDel="00000000" w:rsidR="00000000" w:rsidRPr="00000000">
        <w:rPr>
          <w:b w:val="1"/>
          <w:rtl w:val="0"/>
        </w:rPr>
        <w:t xml:space="preserve">l 9% </w:t>
      </w:r>
      <w:r w:rsidDel="00000000" w:rsidR="00000000" w:rsidRPr="00000000">
        <w:rPr>
          <w:rtl w:val="0"/>
        </w:rPr>
        <w:t xml:space="preserve">de las importaciones globales están hoy afectadas por tensiones comerciales, como tarifas unilaterales, derechos antidumping y compensatorios. “Se trata de un incremento considerable respecto a años anteriores”, advierte la OMC.</w:t>
      </w:r>
    </w:p>
    <w:p w:rsidR="00000000" w:rsidDel="00000000" w:rsidP="00000000" w:rsidRDefault="00000000" w:rsidRPr="00000000" w14:paraId="00000011">
      <w:pPr>
        <w:spacing w:after="240" w:before="240" w:lineRule="auto"/>
        <w:rPr/>
      </w:pPr>
      <w:r w:rsidDel="00000000" w:rsidR="00000000" w:rsidRPr="00000000">
        <w:rPr>
          <w:rtl w:val="0"/>
        </w:rPr>
        <w:t xml:space="preserve">El informe  se encuentra disponible en inglés, y se prevé que las versiones en español y francés estarán disponibles para su descarga en agosto de 2025 desde el sitio web oficial de la OMC.</w:t>
      </w:r>
    </w:p>
    <w:p w:rsidR="00000000" w:rsidDel="00000000" w:rsidP="00000000" w:rsidRDefault="00000000" w:rsidRPr="00000000" w14:paraId="00000012">
      <w:pPr>
        <w:spacing w:after="240" w:before="240" w:lineRule="auto"/>
        <w:rPr/>
      </w:pPr>
      <w:r w:rsidDel="00000000" w:rsidR="00000000" w:rsidRPr="00000000">
        <w:rPr>
          <w:rtl w:val="0"/>
        </w:rPr>
      </w:r>
    </w:p>
    <w:p w:rsidR="00000000" w:rsidDel="00000000" w:rsidP="00000000" w:rsidRDefault="00000000" w:rsidRPr="00000000" w14:paraId="00000013">
      <w:pPr>
        <w:spacing w:after="240" w:before="240" w:lineRule="auto"/>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pStyle w:val="Heading3"/>
        <w:keepNext w:val="0"/>
        <w:keepLines w:val="0"/>
        <w:spacing w:after="240" w:before="240" w:lineRule="auto"/>
        <w:rPr/>
      </w:pPr>
      <w:bookmarkStart w:colFirst="0" w:colLast="0" w:name="_10s280iwvwfd" w:id="0"/>
      <w:bookmarkEnd w:id="0"/>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